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3.png" ContentType="image/png"/>
  <Override PartName="/word/media/rId31.png" ContentType="image/png"/>
  <Override PartName="/word/media/rId35.png" ContentType="image/png"/>
  <Override PartName="/word/media/rId39.png" ContentType="image/png"/>
  <Override PartName="/word/media/rId67.png" ContentType="image/png"/>
  <Override PartName="/word/media/rId51.png" ContentType="image/png"/>
  <Override PartName="/word/media/rId47.png" ContentType="image/png"/>
  <Override PartName="/word/media/rId55.png" ContentType="image/png"/>
  <Override PartName="/word/media/rId59.png" ContentType="image/png"/>
  <Override PartName="/word/media/rId6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yields</w:t>
      </w:r>
      <w:r>
        <w:t xml:space="preserve"> </w:t>
      </w:r>
      <w:r>
        <w:t xml:space="preserve">and</w:t>
      </w:r>
      <w:r>
        <w:t xml:space="preserve"> </w:t>
      </w:r>
      <w:r>
        <w:t xml:space="preserve">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bookmarkStart w:id="71" w:name="supporting-information"/>
    <w:p>
      <w:pPr>
        <w:pStyle w:val="Heading1"/>
      </w:pPr>
      <w:r>
        <w:t xml:space="preserve">Supporting Information</w:t>
      </w:r>
    </w:p>
    <w:p>
      <w:pPr>
        <w:pStyle w:val="FirstParagraph"/>
      </w:pPr>
    </w:p>
    <w:p>
      <w:pPr>
        <w:pStyle w:val="TableCaption"/>
      </w:pPr>
      <w:bookmarkStart w:id="21" w:name="tab:unnamed-chunk-1"/>
      <w:bookmarkEnd w:id="21"/>
      <w:r>
        <w:t xml:space="preserve">Tab.1:</w:t>
      </w:r>
      <w:r>
        <w:t xml:space="preserve"> </w:t>
      </w:r>
      <w:r>
        <w:t xml:space="preserve">Linear regression, coefficient of determination (R square), Pearson correlation coefficients (R), and p-value used to calculate the pigment content (µg mL-1) of two PhycoCyanin(PC)-rich cultures (056, 077) and two PhycoErythrin(PE)-rich cultures (048, 127) (Culture Collection of Baltic Algae) of Synechococcus sp. based on absorbance (A) measurements.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1"/>
        <w:gridCol w:w="824"/>
        <w:gridCol w:w="4451"/>
        <w:gridCol w:w="1451"/>
        <w:gridCol w:w="911"/>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Pigment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Abs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Linear_regression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R_square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 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Chla µg/mL = (Abs665*13.411029)+0.154793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Car µg/mL = (Abs480*5.469880)+0.089971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 µg/mL = (Abs565*26.760737)-0.143872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 µg/mL = (Abs620*29.979866)-0.182611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8"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APC µg/mL = (Abs650*3.873803)+0.021964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2" w:name="tab:unnamed-chunk-2"/>
      <w:bookmarkEnd w:id="22"/>
      <w:r>
        <w:t xml:space="preserve">Tab.2:</w:t>
      </w:r>
      <w:r>
        <w:t xml:space="preserve"> </w:t>
      </w:r>
      <w:r>
        <w:t xml:space="preserve">Three-way factorial ANOVA testing whether peak PAR, photoperiod, strain, and their interactions (Source_of_variation), significantly influence the chlorophyll specific exponential growth rate (µ; d−1), estimated from logistic fits of chlorophyll proxy OD680 – OD720 vs. cumulative diel PUR, for two PhycoCyanin(PC)-rich cultures (056, 077) and two PhycoErythrin(PE)-rich cultures (048, 127) (Culture Collection of Baltic Algae) of Synechococcus sp., grown at 30, 90, 180, 300, 600, or 900 peak PAR µmol photons m−2s−1; and photoperiods of 8, 12, 16, or 24 h. Df – degrees of freedom; Sum Sq – sum of squares; Mean Sq – mean sum of squares;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68"/>
        <w:gridCol w:w="651"/>
        <w:gridCol w:w="1264"/>
        <w:gridCol w:w="1371"/>
        <w:gridCol w:w="1362"/>
        <w:gridCol w:w="1251"/>
      </w:tblGrid>
      <w:tr>
        <w:trPr>
          <w:trHeight w:val="63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Source_of_variation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Mean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3.276e+30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8.367e+30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3.151e+29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1.025e+30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1.593e+29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1.306e+29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Par_ue:Photoperiod:Strain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1.434e+29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5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Residuals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bl>
    <w:p>
      <w:pPr>
        <w:pStyle w:val="BodyText"/>
      </w:pPr>
    </w:p>
    <w:p>
      <w:pPr>
        <w:pStyle w:val="TableCaption"/>
      </w:pPr>
      <w:bookmarkStart w:id="23" w:name="tab:unnamed-chunk-3"/>
      <w:bookmarkEnd w:id="23"/>
      <w:r>
        <w:t xml:space="preserve">Tab.3:</w:t>
      </w:r>
      <w:r>
        <w:t xml:space="preserve"> </w:t>
      </w:r>
      <w:r>
        <w:t xml:space="preserve">One-way ANOVA of a three parameter model (Harrison and Platt 1986) from pooled data (All) and data fit across different photoperiods (8, 12, 16, or 24)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4" w:name="tab:unnamed-chunk-4"/>
      <w:bookmarkEnd w:id="24"/>
      <w:r>
        <w:t xml:space="preserve">Tab.4:</w:t>
      </w:r>
      <w:r>
        <w:t xml:space="preserve"> </w:t>
      </w:r>
      <w:r>
        <w:t xml:space="preserve">One-way ANOVA of a three parameter model (Harrison and Platt 1986) from pooled data (All) and data fit across different peak PAR (30, 90, 180, 300, 600 together with 900) from chlorophyll specific exponential growth rate vs. cumulative diel PUR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2"/>
        <w:gridCol w:w="1464"/>
        <w:gridCol w:w="1144"/>
        <w:gridCol w:w="1758"/>
        <w:gridCol w:w="1362"/>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1.089e+03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2.749e+01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8.972e+00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5.640e+00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4.027e+00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PC-rich_077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7.428e-01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0.844</w:t>
            </w:r>
          </w:p>
        </w:tc>
      </w:tr>
      <w:tr>
        <w:trPr>
          <w:trHeight w:val="59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1.893e+00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0.034</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6.568e+01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6.758e+03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300_All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PE-rich_127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900_All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BodyText"/>
      </w:pPr>
      <w:r>
        <w:t xml:space="preserve">Table S5: One-way ANOVA of a three parameter model (Harrison and Platt 1986) from pooled data (All) and data fit across different photoperiods (8, 12, 16, or 24)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S6: One-way ANOVA of a three parameter model (Harrison and Platt 1986) from pooled data (All) and data fit across different peak PAR (30, 90, 180, 300, 600 together with 900) from chlorophyll specific exponential growth rate vs. cumulative diel PAR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S7: One-way ANOVA of a three parameter model (Harrison and Platt 1986) from pooled data (All) and data fit across different photoperiods (8, 12, 16, or 24)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BodyText"/>
      </w:pPr>
      <w:r>
        <w:t xml:space="preserve">Table S8: One-way ANOVA of a three parameter model (Harrison and Platt 1986) from pooled data (All) and data fit across different peak PAR (30, 90, 180, 300, 600 together with 900) from chlorophyll specific exponential growth rate vs. PSII electron flux (JVPSII; µmol e− µmol Chl a−1 d−1) (Fit_model), for two PhycoCyanin(PC)-rich cultures (056, 077) and two PhycoErythrin(PE)-rich cultures (048, 127) of Synechococcus sp. originating from the Baltic Sea, grown at 30, 90, 180, 300, 600, or 900 peak PAR µmol photons m−2s−1; and photoperiods of 8, 12, 16, or 24 h. Res.Df - residual degrees of freedom for each model; Res.Sum Sq - residual sum of squares for each model; F_value – Fisher’s F-test statistic; p_value - level of significance.</w:t>
      </w:r>
    </w:p>
    <w:p>
      <w:pPr>
        <w:pStyle w:val="BodyText"/>
      </w:pPr>
    </w:p>
    <w:p>
      <w:pPr>
        <w:pStyle w:val="TableCaption"/>
      </w:pPr>
      <w:bookmarkStart w:id="25" w:name="tab:unnamed-chunk-5"/>
      <w:bookmarkEnd w:id="25"/>
      <w:r>
        <w:t xml:space="preserve">Tab.5:</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PUR/PAR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2.813e+01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2.762e+01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5.976e+01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-1.491e-01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5.386e+00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0.168</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9.648e-02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0.067</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2.812e+00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0.195</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3.039e+00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4.128e+01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0.024</w:t>
            </w:r>
          </w:p>
        </w:tc>
      </w:tr>
    </w:tbl>
    <w:p>
      <w:pPr>
        <w:pStyle w:val="BodyText"/>
      </w:pPr>
    </w:p>
    <w:p>
      <w:pPr>
        <w:pStyle w:val="TableCaption"/>
      </w:pPr>
      <w:bookmarkStart w:id="26" w:name="tab:unnamed-chunk-6"/>
      <w:bookmarkEnd w:id="26"/>
      <w:r>
        <w:t xml:space="preserve">Tab.6:</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Phycobiliprotein to Chl a ratio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1.531e+01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4.333e+00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5.202e-01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7.063e+00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-2.229e-01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2.276e+00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0.088</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2.686e-01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0.925</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9.255e+00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9.531e+00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8.820e+00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bl>
    <w:p>
      <w:pPr>
        <w:pStyle w:val="BodyText"/>
      </w:pPr>
    </w:p>
    <w:p>
      <w:pPr>
        <w:pStyle w:val="TableCaption"/>
      </w:pPr>
      <w:bookmarkStart w:id="27" w:name="tab:unnamed-chunk-7"/>
      <w:bookmarkEnd w:id="27"/>
      <w:r>
        <w:t xml:space="preserve">Tab.7:</w:t>
      </w:r>
      <w:r>
        <w:t xml:space="preserve"> </w:t>
      </w:r>
      <w:r>
        <w:t xml:space="preserve">One-way ANOVA of single phase exponential decay fit model (Fit_model) of pooled data across different strains for a given phase of growth (exponential; _Exp, pre-stationary; _St) and across different phase of growth for a given strain (_Exp_St) from effective absorption cross section of PSII (σPSII′; nm2 quanta−1) measured under diel peak PAR growth light under Ex590nm (orange)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Res.Df - residual degrees of freedom for each model; Res.Sum Sq - residual sum of squares for each model; F_value – Fisher's F-test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144"/>
        <w:gridCol w:w="1758"/>
        <w:gridCol w:w="1428"/>
        <w:gridCol w:w="1251"/>
      </w:tblGrid>
      <w:tr>
        <w:trPr>
          <w:trHeight w:val="63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Res.Sum Sq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9.926e-01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0.469</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3.764e+01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8.037e+00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2.599e-01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4.636e-01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0.995</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1.522e+01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1.158e+02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-3.922e+00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1.650e+02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2.245e+01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1.146e+00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0.339</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2.921e+00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bl>
    <w:p>
      <w:pPr>
        <w:pStyle w:val="BodyText"/>
      </w:pPr>
    </w:p>
    <w:p>
      <w:pPr>
        <w:pStyle w:val="TableCaption"/>
      </w:pPr>
      <w:bookmarkStart w:id="28" w:name="tab:unnamed-chunk-8"/>
      <w:bookmarkEnd w:id="28"/>
      <w:r>
        <w:t xml:space="preserve">Tab.8:</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the cumulative diel PAR (µmol photons m−2d−1,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78"/>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-1.451e-09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1.058e-09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0.171</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-2.188e-09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-8.236e-10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1.412e-09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1.365e-09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1.603e-09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0.395</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-7.373e-10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1.233e-09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6.274e-10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1.336e-09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0.639</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1.349e-09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5.254e-09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1.745e-09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1.862e-09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0.350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1.658e-09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2.801e-09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1.263e-09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0.028</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-7.077e-10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1.209e-09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0.559</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2.487e-09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1.643e-09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0.132</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6.391e-09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9.166e-10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9.930e-09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1.695e-09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5.056e-09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1.621e-09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0.002</w:t>
            </w:r>
          </w:p>
        </w:tc>
      </w:tr>
    </w:tbl>
    <w:p>
      <w:pPr>
        <w:pStyle w:val="BodyText"/>
      </w:pPr>
    </w:p>
    <w:p>
      <w:pPr>
        <w:pStyle w:val="TableCaption"/>
      </w:pPr>
      <w:bookmarkStart w:id="29" w:name="tab:unnamed-chunk-9"/>
      <w:bookmarkEnd w:id="29"/>
      <w:r>
        <w:t xml:space="preserve">Tab.9:</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(σPSIIʹ; nm2 quanta−1) measured under diel peak PAR growth light under Ex445nm (blue) excitation in relation to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0.672</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0.253</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0.005</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0.264</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0.698</w:t>
            </w:r>
          </w:p>
        </w:tc>
      </w:tr>
    </w:tbl>
    <w:p>
      <w:pPr>
        <w:pStyle w:val="BodyText"/>
      </w:pPr>
    </w:p>
    <w:p>
      <w:pPr>
        <w:pStyle w:val="TableCaption"/>
      </w:pPr>
      <w:bookmarkStart w:id="30" w:name="tab:unnamed-chunk-10"/>
      <w:bookmarkEnd w:id="30"/>
      <w:r>
        <w:t xml:space="preserve">Tab.10:</w:t>
      </w:r>
      <w:r>
        <w:t xml:space="preserve"> </w:t>
      </w:r>
      <w:r>
        <w:t xml:space="preserve">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5"/>
        <w:gridCol w:w="1344"/>
        <w:gridCol w:w="1371"/>
        <w:gridCol w:w="1185"/>
        <w:gridCol w:w="1251"/>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Fit_model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t_value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p_value</w:t>
            </w:r>
          </w:p>
        </w:tc>
      </w:tr>
      <w:tr>
        <w:trPr>
          <w:trHeight w:val="59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056_077_Exp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r>
      <w:tr>
        <w:trPr>
          <w:trHeight w:val="59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077_127_Exp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056_077_St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0.008</w:t>
            </w:r>
          </w:p>
        </w:tc>
      </w:tr>
      <w:tr>
        <w:trPr>
          <w:trHeight w:val="59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0.080</w:t>
            </w:r>
          </w:p>
        </w:tc>
      </w:tr>
      <w:tr>
        <w:trPr>
          <w:trHeight w:val="59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077_048_St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077_127_St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056_Exp_St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077_Exp_St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0.000</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048_Exp_St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0.031</w:t>
            </w:r>
          </w:p>
        </w:tc>
      </w:tr>
      <w:tr>
        <w:trPr>
          <w:trHeight w:val="596"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127_Exp_St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0.060</w:t>
            </w:r>
          </w:p>
        </w:tc>
      </w:tr>
    </w:tbl>
    <w:p>
      <w:pPr>
        <w:pStyle w:val="BodyText"/>
      </w:pPr>
    </w:p>
    <w:p>
      <w:pPr>
        <w:pStyle w:val="BodyText"/>
      </w:pPr>
      <w:r>
        <w:t xml:space="preserve">Table S15: T-test of linear fit model (Fit_model) of pooled data across different strains for a given phase of growth (exponential; _Exp, pre-stationary; _St) and across different phase of growth for a given strain (_Exp_St) from effective absorption cross section of PSII (σPSII; nm2 quanta−1) measured under Ex590nm (orange) excitation in relation to the Phycobiliprotein to Chl a ratio, for two PhycoCyanin(PC)-rich cultures (056, 077) and two PhycoErythrin(PE)-rich cultures (048, 127) (Culture Collection of Baltic Algae) of Synechococcus sp., grown at 30, 90, 180, 300, 600, or 900 peak PAR µmol photons m−2s−1; and photoperiods of 8, 12, 16, or 24 h. Estimate - estimation statistics; Std.Error - standard error of the estimate; t_value – t-test statistic; p_value - level of significance.</w:t>
      </w:r>
    </w:p>
    <w:p>
      <w:pPr>
        <w:pStyle w:val="BodyText"/>
      </w:pPr>
    </w:p>
    <w:p>
      <w:pPr>
        <w:pStyle w:val="CaptionedFigure"/>
      </w:pPr>
      <w:r>
        <w:drawing>
          <wp:inline>
            <wp:extent cx="5943600" cy="7660229"/>
            <wp:effectExtent b="0" l="0" r="0" t="0"/>
            <wp:docPr descr="Fig. 1: Phylogenetic tree derived from partial 16S rRNA gene sequences using topology given by Maximum Likelihood (1000 bootstraps). Support values are indicated by the size of internal nodes. Strains used in this study are shown in bold." title="" id="32" name="Picture"/>
            <a:graphic>
              <a:graphicData uri="http://schemas.openxmlformats.org/drawingml/2006/picture">
                <pic:pic>
                  <pic:nvPicPr>
                    <pic:cNvPr descr="../Output/Figures/SFig.Tree.png" id="33" name="Picture"/>
                    <pic:cNvPicPr>
                      <a:picLocks noChangeArrowheads="1" noChangeAspect="1"/>
                    </pic:cNvPicPr>
                  </pic:nvPicPr>
                  <pic:blipFill>
                    <a:blip r:embed="rId31"/>
                    <a:stretch>
                      <a:fillRect/>
                    </a:stretch>
                  </pic:blipFill>
                  <pic:spPr bwMode="auto">
                    <a:xfrm>
                      <a:off x="0" y="0"/>
                      <a:ext cx="5943600" cy="7660229"/>
                    </a:xfrm>
                    <a:prstGeom prst="rect">
                      <a:avLst/>
                    </a:prstGeom>
                    <a:noFill/>
                    <a:ln w="9525">
                      <a:noFill/>
                      <a:headEnd/>
                      <a:tailEnd/>
                    </a:ln>
                  </pic:spPr>
                </pic:pic>
              </a:graphicData>
            </a:graphic>
          </wp:inline>
        </w:drawing>
      </w:r>
    </w:p>
    <w:p>
      <w:pPr>
        <w:pStyle w:val="ImageCaption"/>
      </w:pPr>
      <w:bookmarkStart w:id="34" w:name="fig:Genetics"/>
      <w:bookmarkEnd w:id="34"/>
      <w:r>
        <w:rPr>
          <w:bCs/>
          <w:b/>
        </w:rPr>
        <w:t xml:space="preserve">Fig.</w:t>
      </w:r>
      <w:r>
        <w:rPr>
          <w:bCs/>
          <w:b/>
        </w:rPr>
        <w:t xml:space="preserve"> </w:t>
      </w:r>
      <w:r>
        <w:t xml:space="preserve">1: Phylogenetic tree derived from partial 16S rRNA gene sequences using topology given by Maximum Likelihood (1000 bootstraps). Support values are indicated by the size of internal nodes. Strains used in this study are shown in bold.</w:t>
      </w:r>
    </w:p>
    <w:p>
      <w:pPr>
        <w:pStyle w:val="BodyText"/>
      </w:pPr>
    </w:p>
    <w:p>
      <w:pPr>
        <w:pStyle w:val="CaptionedFigure"/>
      </w:pPr>
      <w:r>
        <w:drawing>
          <wp:inline>
            <wp:extent cx="5943600" cy="4457700"/>
            <wp:effectExtent b="0" l="0" r="0" t="0"/>
            <wp:docPr descr="Fig. 2: Growth curves, tracked as OD680 (A) and OD720 (B)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1000 to scale to the Y axis." title="" id="36" name="Picture"/>
            <a:graphic>
              <a:graphicData uri="http://schemas.openxmlformats.org/drawingml/2006/picture">
                <pic:pic>
                  <pic:nvPicPr>
                    <pic:cNvPr descr="../Output/Figures/SFig_GrowthCurve_OD680720.png" id="37"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38" w:name="fig:GrowthCurveOD680"/>
      <w:bookmarkEnd w:id="38"/>
      <w:r>
        <w:rPr>
          <w:bCs/>
          <w:b/>
        </w:rPr>
        <w:t xml:space="preserve">Fig.</w:t>
      </w:r>
      <w:r>
        <w:rPr>
          <w:bCs/>
          <w:b/>
        </w:rPr>
        <w:t xml:space="preserve"> </w:t>
      </w:r>
      <w:r>
        <w:t xml:space="preserve">2: Growth curves, tracked as OD</w:t>
      </w:r>
      <w:r>
        <w:rPr>
          <w:vertAlign w:val="subscript"/>
        </w:rPr>
        <w:t xml:space="preserve">680</w:t>
      </w:r>
      <w:r>
        <w:t xml:space="preserve"> </w:t>
      </w:r>
      <w:r>
        <w:t xml:space="preserve">(</w:t>
      </w:r>
      <w:r>
        <w:rPr>
          <w:bCs/>
          <w:b/>
        </w:rPr>
        <w:t xml:space="preserve">A</w:t>
      </w:r>
      <w:r>
        <w:t xml:space="preserve">) and OD</w:t>
      </w:r>
      <w:r>
        <w:rPr>
          <w:vertAlign w:val="subscript"/>
        </w:rPr>
        <w:t xml:space="preserve">720</w:t>
      </w:r>
      <w:r>
        <w:t xml:space="preserve"> </w:t>
      </w:r>
      <w:r>
        <w:t xml:space="preserve">(</w:t>
      </w:r>
      <w:r>
        <w:rPr>
          <w:bCs/>
          <w:b/>
        </w:rPr>
        <w:t xml:space="preserve">B</w:t>
      </w:r>
      <w:r>
        <w:t xml:space="preserve">)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1/1000 to scale to the Y axis.</w:t>
      </w:r>
    </w:p>
    <w:p>
      <w:pPr>
        <w:pStyle w:val="BodyText"/>
      </w:pPr>
    </w:p>
    <w:p>
      <w:pPr>
        <w:pStyle w:val="CaptionedFigure"/>
      </w:pPr>
      <w:r>
        <w:drawing>
          <wp:inline>
            <wp:extent cx="5943600" cy="4457700"/>
            <wp:effectExtent b="0" l="0" r="0" t="0"/>
            <wp:docPr descr="Fig. 3: (A) Growth curves (tracked as chlorophyll proxy OD680-OD720; Δ OD) vs. elapsed time (d). Growth curves were estimated over 5-min intervals for two PC-rich cultures (056; dark green, 077; light green) and two PE-rich cultures (048; light red, 127; dark red) of Synechococcus sp. grown at 30, 90, 180, 300, 600, or 900 peak PAR µmol photons m−2s−1; and photoperiods of 8, 12, 16, or 24 h. The vertical lines represent the time when the cultures reached the maximum of the 1st derivative of OD680, or maximum absolute hourly growth (tMaxAHG), taken as an index of transition from exponential to pre-stationary growth phases. The orange area represents the photoperiods, with peak PAR x 1/2000 to scale to the Y axis. (B) Logistic fits (thick lines) of chlorophyll proxy OD680-OD720 (Δ OD) vs. elapsed time (d). Growth curves (thin line) measured over 5-min intervals for each strain were also presented." title="" id="40" name="Picture"/>
            <a:graphic>
              <a:graphicData uri="http://schemas.openxmlformats.org/drawingml/2006/picture">
                <pic:pic>
                  <pic:nvPicPr>
                    <pic:cNvPr descr="../Output/Figures/SFig_GrowthCurve_ODDeltaFit.png" id="41" name="Picture"/>
                    <pic:cNvPicPr>
                      <a:picLocks noChangeArrowheads="1" noChangeAspect="1"/>
                    </pic:cNvPicPr>
                  </pic:nvPicPr>
                  <pic:blipFill>
                    <a:blip r:embed="rId3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2" w:name="fig:GrowthCurveDeltaOD"/>
      <w:bookmarkEnd w:id="42"/>
      <w:r>
        <w:rPr>
          <w:bCs/>
          <w:b/>
        </w:rPr>
        <w:t xml:space="preserve">Fig.</w:t>
      </w:r>
      <w:r>
        <w:rPr>
          <w:bCs/>
          <w:b/>
        </w:rPr>
        <w:t xml:space="preserve"> </w:t>
      </w:r>
      <w:r>
        <w:t xml:space="preserve">3: (</w:t>
      </w:r>
      <w:r>
        <w:rPr>
          <w:bCs/>
          <w:b/>
        </w:rPr>
        <w:t xml:space="preserve">A</w:t>
      </w:r>
      <w:r>
        <w:t xml:space="preserve">) Growth curves (tracked as chlorophyll proxy OD</w:t>
      </w:r>
      <w:r>
        <w:rPr>
          <w:vertAlign w:val="subscript"/>
        </w:rPr>
        <w:t xml:space="preserve">680</w:t>
      </w:r>
      <w:r>
        <w:t xml:space="preserve">-OD</w:t>
      </w:r>
      <w:r>
        <w:rPr>
          <w:vertAlign w:val="subscript"/>
        </w:rPr>
        <w:t xml:space="preserve">720</w:t>
      </w:r>
      <w:r>
        <w:t xml:space="preserve">; Δ OD) vs. elapsed time (d). Growth curves were estimated over 5-min intervals for two PC-rich cultures (056; dark green, 077; light green) and two PE-rich cultures (048; light red, 127; dark red)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The vertical lines represent the time when the cultures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an index of transition from exponential to pre-stationary growth phases. The orange area represents the photoperiods, with peak PAR x 1/2000 to scale to the Y axis. (</w:t>
      </w:r>
      <w:r>
        <w:rPr>
          <w:bCs/>
          <w:b/>
        </w:rPr>
        <w:t xml:space="preserve">B</w:t>
      </w:r>
      <w:r>
        <w:t xml:space="preserve">) Logistic fits (thick lines) of chlorophyll proxy OD</w:t>
      </w:r>
      <w:r>
        <w:rPr>
          <w:vertAlign w:val="subscript"/>
        </w:rPr>
        <w:t xml:space="preserve">680</w:t>
      </w:r>
      <w:r>
        <w:t xml:space="preserve">-OD</w:t>
      </w:r>
      <w:r>
        <w:rPr>
          <w:vertAlign w:val="subscript"/>
        </w:rPr>
        <w:t xml:space="preserve">720</w:t>
      </w:r>
      <w:r>
        <w:t xml:space="preserve"> </w:t>
      </w:r>
      <w:r>
        <w:t xml:space="preserve">(Δ OD) vs. elapsed time (d). Growth curves (thin line) measured over 5-min intervals for each strain were also presented.</w:t>
      </w:r>
    </w:p>
    <w:p>
      <w:pPr>
        <w:pStyle w:val="BodyText"/>
      </w:pPr>
    </w:p>
    <w:p>
      <w:pPr>
        <w:pStyle w:val="CaptionedFigure"/>
      </w:pPr>
      <w:r>
        <w:drawing>
          <wp:inline>
            <wp:extent cx="5943600" cy="4457700"/>
            <wp:effectExtent b="0" l="0" r="0" t="0"/>
            <wp:docPr descr="Fig. 4: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44" name="Picture"/>
            <a:graphic>
              <a:graphicData uri="http://schemas.openxmlformats.org/drawingml/2006/picture">
                <pic:pic>
                  <pic:nvPicPr>
                    <pic:cNvPr descr="../Output/Figures/Fig_GrowthRate_Light_PUR.png" id="45" name="Picture"/>
                    <pic:cNvPicPr>
                      <a:picLocks noChangeArrowheads="1" noChangeAspect="1"/>
                    </pic:cNvPicPr>
                  </pic:nvPicPr>
                  <pic:blipFill>
                    <a:blip r:embed="rId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6" w:name="fig:GrowthRateLightPUR"/>
      <w:bookmarkEnd w:id="46"/>
      <w:r>
        <w:rPr>
          <w:bCs/>
          <w:b/>
        </w:rPr>
        <w:t xml:space="preserve">Fig.</w:t>
      </w:r>
      <w:r>
        <w:rPr>
          <w:bCs/>
          <w:b/>
        </w:rPr>
        <w:t xml:space="preserve"> </w:t>
      </w:r>
      <w:r>
        <w:t xml:space="preserve">4: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4457700"/>
            <wp:effectExtent b="0" l="0" r="0" t="0"/>
            <wp:docPr descr="Fig. 5: (A) Chlorophyll-specific exponential growth rates (d−1) vs. cumulative diel PAR (µmol photons m−2d−1). Growth rates (± SE falling within symbols) were estimated from logistic fits of chlorophyll proxy OD680 – OD720 (ΔOD) vs. elapsed time (Fig. 1, Fig. S3),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 (h)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AR, estimated from data pooled for each photoperiod (points (± SE) connected by dashed lines), and estimated for all data across photoperiods (solid blue horizontal line ± SE), for each strain." title="" id="48" name="Picture"/>
            <a:graphic>
              <a:graphicData uri="http://schemas.openxmlformats.org/drawingml/2006/picture">
                <pic:pic>
                  <pic:nvPicPr>
                    <pic:cNvPr descr="../Output/Figures/SFig_GrowthRate_Photoperiod_PAR.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0" w:name="fig:GrowthRatePhotoperiodPAR"/>
      <w:bookmarkEnd w:id="50"/>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 (h)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photoperiod (points (± SE) connected by dashed lines), and estimated for all data across photoperiods (solid blue horizontal line ± SE), for each strain.</w:t>
      </w:r>
    </w:p>
    <w:p>
      <w:pPr>
        <w:pStyle w:val="BodyText"/>
      </w:pPr>
    </w:p>
    <w:p>
      <w:pPr>
        <w:pStyle w:val="CaptionedFigure"/>
      </w:pPr>
      <w:r>
        <w:drawing>
          <wp:inline>
            <wp:extent cx="5943600" cy="4457700"/>
            <wp:effectExtent b="0" l="0" r="0" t="0"/>
            <wp:docPr descr="Fig. 6: (A) Chlorophyll-specific exponential growth rates (d−1) vs. cumulative diel PAR (µmol photons m−2d−1). Growth rates (± SE falling within symbols) were estimated from logistic fits of chlorophyll proxy OD680 – OD720 (ΔOD) vs. elapsed time (Fig. 1, Fig. S3),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AR, estimated from data pooled for each peak PAR (points (± SE) connected by dashed lines), and estimated for all data across all peak PAR, for each strain (solid blue horizontal line ± SE)." title="" id="52" name="Picture"/>
            <a:graphic>
              <a:graphicData uri="http://schemas.openxmlformats.org/drawingml/2006/picture">
                <pic:pic>
                  <pic:nvPicPr>
                    <pic:cNvPr descr="../Output/Figures/SFig_GrowthRate_Light_PA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LightPAR"/>
      <w:bookmarkEnd w:id="54"/>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PAR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PAR, estimated from data pooled for each peak PAR (points (± SE) connected by dashed lines), and estimated for all data across all peak PAR, for each strain (solid blue horizontal line ± SE).</w:t>
      </w:r>
    </w:p>
    <w:p>
      <w:pPr>
        <w:pStyle w:val="BodyText"/>
      </w:pPr>
    </w:p>
    <w:p>
      <w:pPr>
        <w:pStyle w:val="CaptionedFigure"/>
      </w:pPr>
      <w:r>
        <w:drawing>
          <wp:inline>
            <wp:extent cx="5943600" cy="7641771"/>
            <wp:effectExtent b="0" l="0" r="0" t="0"/>
            <wp:docPr descr="Fig. 7: Changes of Phycobiliprotein to Chl a ratio (µg:µg) vs. cumulative diel PAR (µmol photons m−2d−1). Phycobiliprotein to Chl a ratio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rPr>
          <w:bCs/>
          <w:b/>
        </w:rPr>
        <w:t xml:space="preserve">Fig.</w:t>
      </w:r>
      <w:r>
        <w:rPr>
          <w:bCs/>
          <w:b/>
        </w:rPr>
        <w:t xml:space="preserve"> </w:t>
      </w:r>
      <w:r>
        <w:t xml:space="preserve">7: Changes of Phycobiliprotein to Chl</w:t>
      </w:r>
      <w:r>
        <w:t xml:space="preserve"> </w:t>
      </w:r>
      <w:r>
        <w:rPr>
          <w:iCs/>
          <w:i/>
        </w:rPr>
        <w:t xml:space="preserve">a</w:t>
      </w:r>
      <w:r>
        <w:t xml:space="preserve"> </w:t>
      </w:r>
      <w:r>
        <w:t xml:space="preserve">ratio (µg:µg) vs. cumulative diel PAR (µmol photons m</w:t>
      </w:r>
      <w:r>
        <w:rPr>
          <w:vertAlign w:val="superscript"/>
        </w:rPr>
        <w:t xml:space="preserve">−2</w:t>
      </w:r>
      <w:r>
        <w:t xml:space="preserve">d</w:t>
      </w:r>
      <w:r>
        <w:rPr>
          <w:vertAlign w:val="superscript"/>
        </w:rPr>
        <w:t xml:space="preserve">−1</w:t>
      </w:r>
      <w:r>
        <w:t xml:space="preserve">). Phycobiliprotein to Chl</w:t>
      </w:r>
      <w:r>
        <w:t xml:space="preserve"> </w:t>
      </w:r>
      <w:r>
        <w:rPr>
          <w:iCs/>
          <w:i/>
        </w:rPr>
        <w:t xml:space="preserve">a</w:t>
      </w:r>
      <w:r>
        <w:t xml:space="preserve"> </w:t>
      </w:r>
      <w:r>
        <w:t xml:space="preserve">ratio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p>
    <w:p>
      <w:pPr>
        <w:pStyle w:val="CaptionedFigure"/>
      </w:pPr>
      <w:r>
        <w:drawing>
          <wp:inline>
            <wp:extent cx="5943600" cy="7641771"/>
            <wp:effectExtent b="0" l="0" r="0" t="0"/>
            <wp:docPr descr="Fig. 8: Effective absorption cross section of PSII (σPSII′; nm2 quanta−1) measured under diel peak PAR growth light under blue (Ex445nm) excitation vs. cumulative diel PAR (µmol photons m−2d−1).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0" name="Picture"/>
            <a:graphic>
              <a:graphicData uri="http://schemas.openxmlformats.org/drawingml/2006/picture">
                <pic:pic>
                  <pic:nvPicPr>
                    <pic:cNvPr descr="../Output/Figures/SFig_Sigma445.png" id="61"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2" w:name="fig:Sigma445"/>
      <w:bookmarkEnd w:id="62"/>
      <w:r>
        <w:rPr>
          <w:bCs/>
          <w:b/>
        </w:rPr>
        <w:t xml:space="preserve">Fig.</w:t>
      </w:r>
      <w:r>
        <w:rPr>
          <w:bCs/>
          <w:b/>
        </w:rPr>
        <w:t xml:space="preserve"> </w:t>
      </w:r>
      <w:r>
        <w:t xml:space="preserve">8: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cumulative diel PAR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9: (A) Changes of effective absorption cross section of PSII (σPSII; nm2 quanta−1) measured at the dark period under orange (Ex590nm) excitation vs. the ratio of sum of µg phycobilins (PE, PC, APC protein, Phycobiliprotein) to µg Chl a. (B) Changes of effective absorption cross section of PSII (σPSII′; nm2 quanta−1) measured under diel peak PAR growth light under blue (Ex445nm) excitation vs. the ratio of sum of µg phycobilins (PE, PC, APC protein, Phycobiliprotein) to µg Chl a. σPSII′ was estimated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4" name="Picture"/>
            <a:graphic>
              <a:graphicData uri="http://schemas.openxmlformats.org/drawingml/2006/picture">
                <pic:pic>
                  <pic:nvPicPr>
                    <pic:cNvPr descr="../Output/Figures/SFig_SigmaPigMerge.pn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6" w:name="fig:SigmaPig445"/>
      <w:bookmarkEnd w:id="66"/>
      <w:r>
        <w:rPr>
          <w:bCs/>
          <w:b/>
        </w:rPr>
        <w:t xml:space="preserve">Fig.</w:t>
      </w:r>
      <w:r>
        <w:rPr>
          <w:bCs/>
          <w:b/>
        </w:rPr>
        <w:t xml:space="preserve"> </w:t>
      </w:r>
      <w:r>
        <w:t xml:space="preserve">9: (</w:t>
      </w:r>
      <w:r>
        <w:rPr>
          <w:bCs/>
          <w:b/>
        </w:rPr>
        <w:t xml:space="preserve">A</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orange (Ex</w:t>
      </w:r>
      <w:r>
        <w:rPr>
          <w:vertAlign w:val="subscript"/>
        </w:rPr>
        <w:t xml:space="preserve">590nm</w:t>
      </w:r>
      <w:r>
        <w:t xml:space="preserve">) excitation vs. the ratio of sum of µg phycobilins (PE, PC, APC protein, Phycobiliprotein) to µg Chl</w:t>
      </w:r>
      <w:r>
        <w:t xml:space="preserve"> </w:t>
      </w:r>
      <w:r>
        <w:rPr>
          <w:iCs/>
          <w:i/>
        </w:rPr>
        <w:t xml:space="preserve">a</w:t>
      </w:r>
      <w:r>
        <w:t xml:space="preserve">. (</w:t>
      </w:r>
      <w:r>
        <w:rPr>
          <w:bCs/>
          <w:b/>
        </w:rPr>
        <w:t xml:space="preserve">B</w:t>
      </w:r>
      <w:r>
        <w:t xml:space="preserve">) Changes of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blue (Ex</w:t>
      </w:r>
      <w:r>
        <w:rPr>
          <w:vertAlign w:val="subscript"/>
        </w:rPr>
        <w:t xml:space="preserve">445nm</w:t>
      </w:r>
      <w:r>
        <w:t xml:space="preserve">) excitation vs. the ratio of sum of µg phycobilins (PE, PC, APC protein, Phycobiliprotein) to µg Chl</w:t>
      </w:r>
      <w:r>
        <w:t xml:space="preserve"> </w:t>
      </w:r>
      <w:r>
        <w:rPr>
          <w:iCs/>
          <w:i/>
        </w:rPr>
        <w:t xml:space="preserve">a</w:t>
      </w:r>
      <w:r>
        <w:t xml:space="preserve">. σ</w:t>
      </w:r>
      <w:r>
        <w:rPr>
          <w:vertAlign w:val="subscript"/>
        </w:rPr>
        <w:t xml:space="preserve">PSII</w:t>
      </w:r>
      <w:r>
        <w:t xml:space="preserve">′ was estimated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p>
      <w:pPr>
        <w:pStyle w:val="BodyText"/>
      </w:pPr>
    </w:p>
    <w:p>
      <w:pPr>
        <w:pStyle w:val="CaptionedFigure"/>
      </w:pPr>
      <w:r>
        <w:drawing>
          <wp:inline>
            <wp:extent cx="5943600" cy="4457700"/>
            <wp:effectExtent b="0" l="0" r="0" t="0"/>
            <wp:docPr descr="Fig. 10: (A) Chlorophyll 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flux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600 together with 900 (orange) peak PAR µmol photons m−2s−1, when they were significantly different (ANOVA, p &lt; 0.05) from the fit of pooled data. (B) Alpha parameters of the initial rise of growth rate (α) vs. cumulative diel JVPSII, estimated from data pooled for each peak PAR (points (± SE) connected by dashed lines), and estimated for all data across all peak PAR, for each strain (solid blue horizontal line ± SE)." title="" id="68" name="Picture"/>
            <a:graphic>
              <a:graphicData uri="http://schemas.openxmlformats.org/drawingml/2006/picture">
                <pic:pic>
                  <pic:nvPicPr>
                    <pic:cNvPr descr="../Output/Figures/SFig_GrowthRate_JVPSII_Light_Chla.png" id="69" name="Picture"/>
                    <pic:cNvPicPr>
                      <a:picLocks noChangeArrowheads="1" noChangeAspect="1"/>
                    </pic:cNvPicPr>
                  </pic:nvPicPr>
                  <pic:blipFill>
                    <a:blip r:embed="rId6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0" w:name="fig:GrowthRateJVPSIILight"/>
      <w:bookmarkEnd w:id="70"/>
      <w:r>
        <w:rPr>
          <w:bCs/>
          <w:b/>
        </w:rPr>
        <w:t xml:space="preserve">Fig.</w:t>
      </w:r>
      <w:r>
        <w:rPr>
          <w:bCs/>
          <w:b/>
        </w:rPr>
        <w:t xml:space="preserve"> </w:t>
      </w:r>
      <w:r>
        <w:t xml:space="preserve">10: (</w:t>
      </w:r>
      <w:r>
        <w:rPr>
          <w:bCs/>
          <w:b/>
        </w:rPr>
        <w:t xml:space="preserve">A</w:t>
      </w:r>
      <w:r>
        <w:t xml:space="preserve">) Chlorophyll 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flux 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Cs/>
          <w:i/>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600 together with 900 (orange) peak PAR µmol photons m</w:t>
      </w:r>
      <w:r>
        <w:rPr>
          <w:vertAlign w:val="superscript"/>
        </w:rPr>
        <w:t xml:space="preserve">−2</w:t>
      </w:r>
      <w:r>
        <w:t xml:space="preserve">s</w:t>
      </w:r>
      <w:r>
        <w:rPr>
          <w:vertAlign w:val="superscript"/>
        </w:rPr>
        <w:t xml:space="preserve">−1</w:t>
      </w:r>
      <w:r>
        <w:t xml:space="preserve">,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peak PAR (points (± SE) connected by dashed lines), and estimated for all data across all peak PAR, for each strain (solid blue horizontal line ± SE).</w:t>
      </w:r>
    </w:p>
    <w:p>
      <w:pPr>
        <w:pStyle w:val="BodyText"/>
      </w:pPr>
    </w:p>
    <w:bookmarkEnd w:id="71"/>
    <w:bookmarkStart w:id="74" w:name="references"/>
    <w:p>
      <w:pPr>
        <w:pStyle w:val="Heading1"/>
      </w:pPr>
      <w:r>
        <w:t xml:space="preserve">References</w:t>
      </w:r>
    </w:p>
    <w:bookmarkStart w:id="73" w:name="refs"/>
    <w:bookmarkStart w:id="7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72"/>
    <w:bookmarkEnd w:id="73"/>
    <w:bookmarkEnd w:id="74"/>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yields and light-capture in PhycoCyanin and PhycoErythrin-rich picocyanobacteria, across photic regimes and growth phases</dc:title>
  <dc:creator>Sylwia Śliwińska-Wilczewska1,2, Marta Konik3,4, Mireille Savoie1, Anabella Aguilera5,6, Naaman M. Omar1, and Douglas A. Campbell1,✉</dc:creator>
  <cp:keywords/>
  <dcterms:created xsi:type="dcterms:W3CDTF">2024-04-30T15:16:32Z</dcterms:created>
  <dcterms:modified xsi:type="dcterms:W3CDTF">2024-04-30T15:16:32Z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